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12" w:rsidRDefault="00DA6012" w:rsidP="00DA601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313E3F" wp14:editId="302DCF2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6012" w:rsidRDefault="00DA6012" w:rsidP="00DA60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A6012" w:rsidRDefault="00DA6012" w:rsidP="00DA60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A6012" w:rsidRDefault="00DA6012" w:rsidP="00DA60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A6012" w:rsidRDefault="00DA6012" w:rsidP="00DA601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A6012" w:rsidRDefault="00DA6012" w:rsidP="00DA601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A6012" w:rsidRDefault="00DA6012" w:rsidP="00DA601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870E3F5" wp14:editId="4DE6113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DA6012" w:rsidRDefault="006B73B2" w:rsidP="006B73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shd w:val="clear" w:color="auto" w:fill="FFFFFF"/>
          <w:lang w:val="uk-UA"/>
        </w:rPr>
      </w:pPr>
      <w:r w:rsidRPr="00DA6012">
        <w:rPr>
          <w:rFonts w:ascii="Times New Roman" w:hAnsi="Times New Roman" w:cs="Times New Roman"/>
          <w:b/>
          <w:sz w:val="25"/>
          <w:szCs w:val="25"/>
          <w:shd w:val="clear" w:color="auto" w:fill="FFFFFF"/>
          <w:lang w:val="uk-UA"/>
        </w:rPr>
        <w:t>Яким чином банк завершує валютний нагляд за дотриманням резидентами граничних строків розрахунків у випадку, якщо валюта авансового платежу відрізняється від валюти ціни отриманого товару?</w:t>
      </w:r>
    </w:p>
    <w:p w:rsidR="006B73B2" w:rsidRPr="00DA6012" w:rsidRDefault="006B73B2" w:rsidP="006B73B2">
      <w:pPr>
        <w:spacing w:after="0" w:line="240" w:lineRule="auto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Згідно з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п.п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1 п. 9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розд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ІІІ Інструкції про порядок валютного нагляду банків за дотриманням резидентами граничних строків розрахунків за операціями з експорту та імпорту товарів, затвердженої постановою Правління Національного банку України від 02 січня 2019 року № 7 із змінами і доповненнями (далі – Інструкція № 7) банк завершує здійснення валютного нагляду за дотриманням резидентами граничних строків розрахунків, зокрема, у разі здійснення розрахунків за експорт, імпорт товарів в іноземній валюті сума незавершених розрахунків за операцією з експорту, імпорту товарів визначається за офіційним курсом гривні до іноземних валют, установленим Національним банком України (далі – НБУ) на дату останньої події за відповідною операцією (остання дата платежу/надходження грошових коштів, дата поставки товару, дата зарахування зустрічних однорідних вимог).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Відповідно до п. 14 прим. 7 Постанови № 18 банк, крім підстав, передбачених в Інструкції № 7, має право завершити здійснення валютного нагляду за дотриманням резидентами граничних строків розрахунків за операціями з імпорту продукції, яка ввозиться в Україну як гуманітарна допомога, на підставі одного з таких пакетів документів (оригіналів або їх копій), що підтверджують: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1) пропуск через митний кордон України гуманітарної допомоги в порядку, передбаченому постановою Кабінету Міністрів України від 01 березня 2022 року № 174 «Деякі питання пропуску гуманітарної допомоги через митний кордон України в умовах воєнного стану» (зі змінами), якими можуть бути декларація про перелік товарів, що визнаються гуманітарною допомогою, або витяг з автоматизованої системи митного оформлення, або інші видані митними органами документи, що підтверджують ввезення гуманітарної допомоги на територію України. Також мають бути надані документи (оригінали або їх копії), що підтверджують передавання/одержання ввезеної гуманітарної допомоги її отримувачу(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ем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). Датою завершення здійснення валютного нагляду за дотриманням резидентами граничних строків розрахунків за операціями з імпорту продукції, яка ввозиться (надходить) в Україну як гуманітарна допомога, є дата пропуску через митний кордон України гуманітарної допомоги;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2) отримання ввезеної гуманітарної допомоги правоохоронними органами, Міністерством оборони України, військовими частинами Збройних Сил України, іншими військовими формуваннями та суб’єктами, що здійснюють боротьбу з тероризмом відповідно до закону та/або беруть участь у здійсненні заходів із забезпечення національної безпеки і оборони, відсічі і стримування збройної агресії Російської Федерації, іншими органами державної влади, органами місцевого самоврядування, а також установами або організаціями, що створені цими органами та утримуються за рахунок коштів державного або місцевого бюджету. Датою завершення здійснення валютного нагляду за дотриманням резидентами граничних строків розрахунків за операціями з імпорту продукції, яка ввозиться (надходить) в Україну як гуманітарна допомога, може бути дата отримання ввезеної гуманітарної допомоги особами, </w:t>
      </w: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lastRenderedPageBreak/>
        <w:t xml:space="preserve">зазначеними в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п.п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2 п. 14 прим. 7 Постанови № 18, за відсутності документів, що підтверджують дату пропуску через митний кордон України гуманітарної допомоги.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Банк має право прийняти рішення про необхідність подання резидентами додаткових документів, пов’язаних зі здійсненням імпорту продукції, що ввозиться в Україну як гуманітарна допомога, для здійснення валютного нагляду за дотриманням резидентами граничних строків розрахунків.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Разом з цим, відповідно до п. 14 прим. 6 постанови Правління Національного банку України від 24 лютого 2022 року № 18 «Про роботу банківської системи в період запровадження воєнного стану» (далі – Постанова № 18) в період запровадження воєнного стану банк не має права завершити здійснення валютного нагляду за дотриманням резидентами граничних строків розрахунків за операцією з експорту/імпорту товарів на підставі документів про припинення зобов’язань зарахуванням зустрічних однорідних вимог.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Вимоги абзацу першого п. 14 прим. 6 Постанови № 18 не поширюються на випадки завершення здійснення валютного нагляду за дотриманням резидентами граничних строків розрахунків у разі припинення зобов’язань зарахуванням зустрічних однорідних вимог за операціями операторів телекомунікацій з оплати міжнародних телекомунікаційних послуг (міжнародного роумінгу та пропуску міжнародного трафіка).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Відповідно до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п.п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1 п. 3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розд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І Інструкції № 7 валюта платежу – будь-яка валюта, в якій згідно з умовами договору здійснюється оплата товару.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При цьому згідно з п. 17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розд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IV Інструкції № 7, банк з метою здійснення валютного нагляду за повнотою розрахунків за операціями з експорту та імпорту товарів використовує передбачені в договорі умови перерахування валюти ціни у валюту платежу, якщо згідно з умовами договору валюта платежу відрізняється від валюти ціни.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Норма, зазначена в абзаці першому п. 17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розд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IV Інструкції № 7, не застосовується, якщо в банку є підстави вважати, що операція з експорту, імпорту товарів може бути пов’язана з уникненням та/або невиконанням вимог, передбачених законодавством України, та призводить/може призвести до неотримання/недоотримання грошових коштів/товару резидентом.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Якщо в договорі немає умов, які дають змогу однозначно визначити курс (крос-курс), за яким здійснюється перерахування, та/або у випадках, визначених в абзаці другому п. 17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розд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. IV Інструкції № 7, банк для здійснення валютного нагляду за дотриманням резидентами граничних строків розрахунків використовує офіційний курс гривні до іноземних валют, установлений НБУ на дату платежу.</w:t>
      </w:r>
    </w:p>
    <w:p w:rsidR="006B73B2" w:rsidRPr="00DA6012" w:rsidRDefault="006B73B2" w:rsidP="006B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Водночас, для надання конкретної відповіді з порушеного питання пропонуємо звертатись до НБУ.</w:t>
      </w:r>
    </w:p>
    <w:p w:rsidR="006B73B2" w:rsidRPr="00DA6012" w:rsidRDefault="006B73B2" w:rsidP="00DA6012">
      <w:pPr>
        <w:ind w:firstLine="567"/>
        <w:rPr>
          <w:rStyle w:val="z-label"/>
          <w:rFonts w:ascii="Times New Roman" w:hAnsi="Times New Roman" w:cs="Times New Roman"/>
          <w:sz w:val="25"/>
          <w:szCs w:val="25"/>
        </w:rPr>
      </w:pPr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За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>інформацією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>загальнодоступного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</w:t>
      </w:r>
      <w:proofErr w:type="spellStart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>інформаційно-довідкового</w:t>
      </w:r>
      <w:proofErr w:type="spellEnd"/>
      <w:r w:rsidRPr="00DA6012">
        <w:rPr>
          <w:rFonts w:ascii="Times New Roman" w:hAnsi="Times New Roman" w:cs="Times New Roman"/>
          <w:sz w:val="25"/>
          <w:szCs w:val="25"/>
          <w:shd w:val="clear" w:color="auto" w:fill="FFFFFF"/>
        </w:rPr>
        <w:t xml:space="preserve"> ресурсу.</w:t>
      </w:r>
    </w:p>
    <w:p w:rsidR="006B73B2" w:rsidRDefault="006B73B2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46DE" w:rsidRPr="004C46DE" w:rsidRDefault="004C46DE" w:rsidP="006B73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6B73B2" w:rsidRPr="00EA716F" w:rsidRDefault="006B73B2" w:rsidP="006B73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B73B2" w:rsidRPr="006B73B2" w:rsidRDefault="006B73B2" w:rsidP="00DA60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B73B2" w:rsidRPr="006B73B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B2"/>
    <w:rsid w:val="004A64BE"/>
    <w:rsid w:val="004C46DE"/>
    <w:rsid w:val="006B73B2"/>
    <w:rsid w:val="00751448"/>
    <w:rsid w:val="00D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6B73B2"/>
  </w:style>
  <w:style w:type="character" w:styleId="a3">
    <w:name w:val="Hyperlink"/>
    <w:uiPriority w:val="99"/>
    <w:rsid w:val="006B73B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6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6B73B2"/>
  </w:style>
  <w:style w:type="character" w:styleId="a3">
    <w:name w:val="Hyperlink"/>
    <w:uiPriority w:val="99"/>
    <w:rsid w:val="006B73B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6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3963</Words>
  <Characters>2259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2022-10-07T11:26:00Z</dcterms:created>
  <dcterms:modified xsi:type="dcterms:W3CDTF">2022-10-20T05:30:00Z</dcterms:modified>
</cp:coreProperties>
</file>